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398" w:rsidRDefault="00E46398" w:rsidP="00E46398">
      <w:pPr>
        <w:spacing w:line="480" w:lineRule="auto"/>
        <w:jc w:val="center"/>
      </w:pPr>
    </w:p>
    <w:p w:rsidR="00826CCB" w:rsidRDefault="00826CCB" w:rsidP="00E46398">
      <w:pPr>
        <w:spacing w:line="480" w:lineRule="auto"/>
        <w:jc w:val="center"/>
      </w:pPr>
    </w:p>
    <w:p w:rsidR="00826CCB" w:rsidRDefault="00826CCB" w:rsidP="00E46398">
      <w:pPr>
        <w:spacing w:line="480" w:lineRule="auto"/>
        <w:jc w:val="center"/>
      </w:pPr>
    </w:p>
    <w:p w:rsidR="00E46398" w:rsidRDefault="00E46398" w:rsidP="00E46398">
      <w:pPr>
        <w:spacing w:line="480" w:lineRule="auto"/>
        <w:jc w:val="center"/>
      </w:pPr>
    </w:p>
    <w:p w:rsidR="00E46398" w:rsidRDefault="00E46398" w:rsidP="00E46398">
      <w:pPr>
        <w:spacing w:line="480" w:lineRule="auto"/>
        <w:jc w:val="center"/>
      </w:pPr>
    </w:p>
    <w:p w:rsidR="00E46398" w:rsidRDefault="00E46398" w:rsidP="00E46398">
      <w:pPr>
        <w:spacing w:line="480" w:lineRule="auto"/>
        <w:jc w:val="center"/>
      </w:pPr>
    </w:p>
    <w:p w:rsidR="00E46398" w:rsidRDefault="00E46398" w:rsidP="00E46398">
      <w:pPr>
        <w:spacing w:line="480" w:lineRule="auto"/>
        <w:jc w:val="center"/>
      </w:pPr>
    </w:p>
    <w:p w:rsidR="00266243" w:rsidRDefault="00420233" w:rsidP="00E46398">
      <w:pPr>
        <w:spacing w:line="480" w:lineRule="auto"/>
        <w:jc w:val="center"/>
      </w:pPr>
      <w:r>
        <w:t>The Impact o</w:t>
      </w:r>
      <w:r w:rsidR="00783F91">
        <w:t>f Service Learning to Students.</w:t>
      </w:r>
    </w:p>
    <w:p w:rsidR="00783F91" w:rsidRDefault="00783F91" w:rsidP="00783F91">
      <w:pPr>
        <w:spacing w:line="480" w:lineRule="auto"/>
        <w:jc w:val="center"/>
      </w:pPr>
      <w:r>
        <w:t>Name.</w:t>
      </w:r>
    </w:p>
    <w:p w:rsidR="00783F91" w:rsidRDefault="00783F91" w:rsidP="00783F91">
      <w:pPr>
        <w:spacing w:line="480" w:lineRule="auto"/>
        <w:jc w:val="center"/>
      </w:pPr>
      <w:r>
        <w:t>Institution.</w:t>
      </w:r>
    </w:p>
    <w:p w:rsidR="00783F91" w:rsidRDefault="00783F91" w:rsidP="00783F91">
      <w:pPr>
        <w:spacing w:line="480" w:lineRule="auto"/>
        <w:jc w:val="center"/>
      </w:pPr>
      <w:r>
        <w:t>Date.</w:t>
      </w:r>
    </w:p>
    <w:p w:rsidR="00E46398" w:rsidRDefault="00E46398" w:rsidP="00783F91">
      <w:pPr>
        <w:spacing w:line="480" w:lineRule="auto"/>
        <w:jc w:val="center"/>
      </w:pPr>
    </w:p>
    <w:p w:rsidR="00E46398" w:rsidRDefault="00E46398" w:rsidP="00783F91">
      <w:pPr>
        <w:spacing w:line="480" w:lineRule="auto"/>
        <w:jc w:val="center"/>
      </w:pPr>
    </w:p>
    <w:p w:rsidR="00E46398" w:rsidRDefault="00E46398" w:rsidP="00783F91">
      <w:pPr>
        <w:spacing w:line="480" w:lineRule="auto"/>
        <w:jc w:val="center"/>
      </w:pPr>
    </w:p>
    <w:p w:rsidR="00E46398" w:rsidRDefault="00E46398" w:rsidP="00783F91">
      <w:pPr>
        <w:spacing w:line="480" w:lineRule="auto"/>
        <w:jc w:val="center"/>
      </w:pPr>
    </w:p>
    <w:p w:rsidR="00E46398" w:rsidRDefault="00E46398" w:rsidP="00783F91">
      <w:pPr>
        <w:spacing w:line="480" w:lineRule="auto"/>
        <w:jc w:val="center"/>
      </w:pPr>
    </w:p>
    <w:p w:rsidR="00E46398" w:rsidRDefault="00E46398" w:rsidP="00783F91">
      <w:pPr>
        <w:spacing w:line="480" w:lineRule="auto"/>
        <w:jc w:val="center"/>
      </w:pPr>
    </w:p>
    <w:p w:rsidR="00783F91" w:rsidRDefault="00783F91" w:rsidP="00783F91">
      <w:pPr>
        <w:spacing w:line="480" w:lineRule="auto"/>
        <w:jc w:val="center"/>
      </w:pPr>
      <w:r>
        <w:lastRenderedPageBreak/>
        <w:t>The Impact of Service Learning to Students</w:t>
      </w:r>
    </w:p>
    <w:p w:rsidR="00FC6A59" w:rsidRDefault="00FC6A59" w:rsidP="00FC6A59">
      <w:pPr>
        <w:spacing w:line="480" w:lineRule="auto"/>
        <w:ind w:firstLine="720"/>
      </w:pPr>
      <w:r>
        <w:t>The Organization of focus in the case study is the National Campus Compact. The organization is a coalition of over 1000 campuses and aims at promoting higher education through community development and civic learning (Bringle, 2013). The Campus Compact offers support to all member institutions within the United States. Campus Compact is among the leading organizations in the service-learning program. The institute incorporates community work in order to offer practical learning experiences to the students and on the other hand making a significant change to the wide society. The National Compact integrates online tools, rigorous field research, and numerous initiatives and thus offers an effective platform for member institutions to get an opportunity for service learning which simultaneously meets the academic threshold and fulfills the community service goals. The Campus Compact serves a population of over thousand campuses around the US. Despite the majority of the population involved in the Campus Compact, there are other minorities involved such as veterans and people with disabilities. The establishment of Campus Compact was a response to the 1980s media affirmation that the college and university students were selfish, greedy and disconnected from community participation (Bringle, 2013). To counter the assertions, the presidents of Georgetown, Stanford, and Brown Universities, as well as the President of the education commission of the states, created the Campus Compact. Today, the Campus Compact has numerous initiatives and diverse resources that help the students, the staff and the entire faculty to understand the interception between the school studies and community service.</w:t>
      </w:r>
    </w:p>
    <w:p w:rsidR="00FC6A59" w:rsidRDefault="00FC6A59" w:rsidP="00FC6A59">
      <w:pPr>
        <w:spacing w:line="480" w:lineRule="auto"/>
        <w:ind w:firstLine="720"/>
      </w:pPr>
      <w:r>
        <w:t>According to research, after graduation, most students who are not involved in social learning are usually underprepared and are social-economically susceptible (Checkoway, 2011). On the other hand, the Campus Compact creates exposure to the student by providing a real-</w:t>
      </w:r>
      <w:r>
        <w:lastRenderedPageBreak/>
        <w:t>world learning experience, and thus students with the opportunity to undergo through the social learning program tend to be fully prepared to excel in the real world after a successful academic period. According to research, the Campus Compact engages its members in solidarity work. Notably, the Campus Compact is an alliance of numerous colleges and universities and consists of a uniquely diverse population. Therefore, the success of solidarity work in the organization largely lays on the collaboration of all the member institutions. The collaboration of the member institutions will be fostered by engaging the student affairs personnel. Consequently, the stakeholders (faculty, staff, and students) work in solidarity to promote social learning outcomes.</w:t>
      </w:r>
    </w:p>
    <w:p w:rsidR="00FC6A59" w:rsidRDefault="00FC6A59" w:rsidP="00FC6A59">
      <w:pPr>
        <w:spacing w:line="480" w:lineRule="auto"/>
        <w:ind w:firstLine="720"/>
      </w:pPr>
      <w:r>
        <w:t>As students get involved in social learning programs, they are faced with the challenges of cultural diversity in the research field. The main cultural challenges are the different locations the students are exposed to as well as different people in the Campus Compact (Nieto, 2011). Most students assert that the experience in the organization is difficult, in particular, failure to understand some text broadcasted in the online media. In social learning organizations, specifically the Campus Compact, there are different projects carried out as well different students pursuing different courses in their respective schools. Therefore, due to different fields of focus as well as different projects offered the service learning, students are faced with diverse cultural challenges. Clearly, most of the challenges faced by the students are racial, ethical and social-economical differences. The best way to cope with such changes is to embrace the cultural diversity, and thus the diversity will be beneficial rather than being challenged. On the other hand, the XYZ University can infuse the pedagogy of dialogue of students with different ethnicity, race and social class in the curriculum (Checkoway, 2011). This will mitigate the cultural barriers that hinder the students from fully benefitting from the social learning programs.</w:t>
      </w:r>
    </w:p>
    <w:p w:rsidR="00FC6A59" w:rsidRDefault="00FC6A59" w:rsidP="00FC6A59">
      <w:pPr>
        <w:spacing w:line="480" w:lineRule="auto"/>
        <w:ind w:firstLine="720"/>
      </w:pPr>
      <w:r>
        <w:lastRenderedPageBreak/>
        <w:t>The potential liabilities that might exist if the students of XYZ University join the National Campus Compact are the following. First, the students are susceptible to cognitive overload. In the Campus Compact, the students are involved in similar projects. However, students pursue different courses in their respective schools. Pumping too much information to students might result in cognitive overload. The solution to this problem is the organization classifying students in categories of their field of specialization and as well as giving information that students can process easily. Second, the geographical distance might prove to be a huge setback. Despite the Campus Compact being available in all area and states in the United States, its headquarters is located in Boston. Therefore, in the enrollment process, it might be an issue with most students, especially the students in the low social class. Although there are no recorded issues involving the Campus Compact, the main challenges that the students might encounter are the ethnic and social economic issues. The relation of the social, economic issues and ethnicity are prevalent because of the campuses involved in the organization. However, the National Campus Compact has intensified efforts to clear all the challenges by promoting equality and advocating interactions of all the students involved.</w:t>
      </w:r>
    </w:p>
    <w:p w:rsidR="00FC6A59" w:rsidRDefault="00FC6A59" w:rsidP="00FC6A59">
      <w:pPr>
        <w:spacing w:line="480" w:lineRule="auto"/>
        <w:ind w:firstLine="720"/>
      </w:pPr>
      <w:r>
        <w:t>The potential cultural conflicts are ethical matters. The Campus Compact consists of students from different ethnical or religious backgrounds. When performing community services, some tasks might be against some beliefs from the students and thus a potential conflict. The only way to resolve conflict between the students and the organization is to create a student affairs department that can be used as a platform for students to air their grievances (Checkoway, 2011). On the other hand, the XYZ University can include civic learning in the core of the curriculum in order to minimize conflicts in social learning institutions.</w:t>
      </w:r>
    </w:p>
    <w:p w:rsidR="00FC6A59" w:rsidRDefault="00FC6A59" w:rsidP="00FC6A59">
      <w:pPr>
        <w:pStyle w:val="Bibliography"/>
        <w:spacing w:line="480" w:lineRule="auto"/>
        <w:ind w:left="720" w:hanging="720"/>
        <w:jc w:val="center"/>
      </w:pPr>
    </w:p>
    <w:p w:rsidR="00FC6A59" w:rsidRDefault="00FC6A59" w:rsidP="00FC6A59">
      <w:pPr>
        <w:pStyle w:val="Bibliography"/>
        <w:spacing w:line="480" w:lineRule="auto"/>
        <w:ind w:left="720" w:hanging="720"/>
        <w:jc w:val="center"/>
      </w:pPr>
      <w:r>
        <w:lastRenderedPageBreak/>
        <w:t>References.</w:t>
      </w:r>
    </w:p>
    <w:p w:rsidR="00E46398" w:rsidRDefault="005327D9" w:rsidP="00FC6A59">
      <w:pPr>
        <w:pStyle w:val="Bibliography"/>
        <w:spacing w:line="480" w:lineRule="auto"/>
        <w:ind w:left="720" w:hanging="720"/>
        <w:rPr>
          <w:noProof/>
        </w:rPr>
      </w:pPr>
      <w:r>
        <w:fldChar w:fldCharType="begin"/>
      </w:r>
      <w:r w:rsidR="00E46398">
        <w:instrText xml:space="preserve"> BIBLIOGRAPHY  \l 1033 </w:instrText>
      </w:r>
      <w:r>
        <w:fldChar w:fldCharType="separate"/>
      </w:r>
      <w:r w:rsidR="00E46398">
        <w:rPr>
          <w:noProof/>
        </w:rPr>
        <w:t xml:space="preserve">Bringle, R. (2013). Implementing Service Learning in Higher Education. </w:t>
      </w:r>
      <w:r w:rsidR="00E46398">
        <w:rPr>
          <w:i/>
          <w:iCs/>
          <w:noProof/>
        </w:rPr>
        <w:t>The Journal of Higher Education</w:t>
      </w:r>
      <w:r w:rsidR="00E46398">
        <w:rPr>
          <w:noProof/>
        </w:rPr>
        <w:t xml:space="preserve"> , 4-11.</w:t>
      </w:r>
    </w:p>
    <w:p w:rsidR="00E46398" w:rsidRDefault="00E46398" w:rsidP="00E46398">
      <w:pPr>
        <w:pStyle w:val="Bibliography"/>
        <w:spacing w:line="480" w:lineRule="auto"/>
        <w:ind w:left="720" w:hanging="720"/>
        <w:rPr>
          <w:noProof/>
        </w:rPr>
      </w:pPr>
      <w:r>
        <w:rPr>
          <w:noProof/>
        </w:rPr>
        <w:t xml:space="preserve">Checkoway, B. (2011). Renewing the civic mission of the American Research University. </w:t>
      </w:r>
      <w:r>
        <w:rPr>
          <w:i/>
          <w:iCs/>
          <w:noProof/>
        </w:rPr>
        <w:t>The Journal of Higher Education</w:t>
      </w:r>
      <w:r>
        <w:rPr>
          <w:noProof/>
        </w:rPr>
        <w:t xml:space="preserve"> , 14-32.</w:t>
      </w:r>
    </w:p>
    <w:p w:rsidR="00E46398" w:rsidRDefault="00E46398" w:rsidP="00E46398">
      <w:pPr>
        <w:pStyle w:val="Bibliography"/>
        <w:spacing w:line="480" w:lineRule="auto"/>
        <w:ind w:left="720" w:hanging="720"/>
        <w:rPr>
          <w:noProof/>
        </w:rPr>
      </w:pPr>
      <w:r>
        <w:rPr>
          <w:noProof/>
        </w:rPr>
        <w:t xml:space="preserve">Nieto, S. (2011). Affirming diversity: The socialeconomical context of multicultural education. </w:t>
      </w:r>
      <w:r>
        <w:rPr>
          <w:i/>
          <w:iCs/>
          <w:noProof/>
        </w:rPr>
        <w:t>International Journal of environmental research</w:t>
      </w:r>
      <w:r>
        <w:rPr>
          <w:noProof/>
        </w:rPr>
        <w:t xml:space="preserve"> , 55-81.</w:t>
      </w:r>
    </w:p>
    <w:p w:rsidR="00E46398" w:rsidRDefault="00E46398" w:rsidP="00E46398">
      <w:pPr>
        <w:pStyle w:val="Bibliography"/>
        <w:spacing w:line="480" w:lineRule="auto"/>
        <w:ind w:left="720" w:hanging="720"/>
        <w:rPr>
          <w:noProof/>
        </w:rPr>
      </w:pPr>
      <w:r>
        <w:rPr>
          <w:noProof/>
        </w:rPr>
        <w:t xml:space="preserve">Nyden, P. (2014). Academic incentives for faculty participation in community-based research. </w:t>
      </w:r>
      <w:r>
        <w:rPr>
          <w:i/>
          <w:iCs/>
          <w:noProof/>
        </w:rPr>
        <w:t>Journal of General Internal Medicine</w:t>
      </w:r>
      <w:r>
        <w:rPr>
          <w:noProof/>
        </w:rPr>
        <w:t xml:space="preserve"> , 63-79.</w:t>
      </w:r>
    </w:p>
    <w:p w:rsidR="00E939D2" w:rsidRDefault="005327D9" w:rsidP="00E46398">
      <w:pPr>
        <w:spacing w:line="480" w:lineRule="auto"/>
        <w:ind w:left="720" w:hanging="720"/>
      </w:pPr>
      <w:r>
        <w:fldChar w:fldCharType="end"/>
      </w:r>
    </w:p>
    <w:p w:rsidR="00C250A2" w:rsidRDefault="00C250A2" w:rsidP="00783F91">
      <w:pPr>
        <w:spacing w:line="480" w:lineRule="auto"/>
      </w:pPr>
    </w:p>
    <w:p w:rsidR="008E79B2" w:rsidRDefault="008E79B2"/>
    <w:p w:rsidR="008E79B2" w:rsidRDefault="008E79B2"/>
    <w:p w:rsidR="0089092D" w:rsidRDefault="0089092D"/>
    <w:sectPr w:rsidR="0089092D" w:rsidSect="00783F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591" w:rsidRDefault="000C2591" w:rsidP="00783F91">
      <w:pPr>
        <w:spacing w:after="0" w:line="240" w:lineRule="auto"/>
      </w:pPr>
      <w:r>
        <w:separator/>
      </w:r>
    </w:p>
  </w:endnote>
  <w:endnote w:type="continuationSeparator" w:id="1">
    <w:p w:rsidR="000C2591" w:rsidRDefault="000C2591" w:rsidP="00783F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591" w:rsidRDefault="000C2591" w:rsidP="00783F91">
      <w:pPr>
        <w:spacing w:after="0" w:line="240" w:lineRule="auto"/>
      </w:pPr>
      <w:r>
        <w:separator/>
      </w:r>
    </w:p>
  </w:footnote>
  <w:footnote w:type="continuationSeparator" w:id="1">
    <w:p w:rsidR="000C2591" w:rsidRDefault="000C2591" w:rsidP="00783F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91" w:rsidRDefault="00783F91">
    <w:pPr>
      <w:pStyle w:val="Header"/>
      <w:jc w:val="right"/>
    </w:pPr>
    <w:r>
      <w:t xml:space="preserve">THE IMPACT OF SERVICE LEARNING TO STUDENTS                                                         </w:t>
    </w:r>
    <w:sdt>
      <w:sdtPr>
        <w:id w:val="6185376"/>
        <w:docPartObj>
          <w:docPartGallery w:val="Page Numbers (Top of Page)"/>
          <w:docPartUnique/>
        </w:docPartObj>
      </w:sdtPr>
      <w:sdtContent>
        <w:fldSimple w:instr=" PAGE   \* MERGEFORMAT ">
          <w:r w:rsidR="007E20D9">
            <w:rPr>
              <w:noProof/>
            </w:rPr>
            <w:t>5</w:t>
          </w:r>
        </w:fldSimple>
      </w:sdtContent>
    </w:sdt>
  </w:p>
  <w:p w:rsidR="00783F91" w:rsidRDefault="00783F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91" w:rsidRDefault="00783F91">
    <w:pPr>
      <w:pStyle w:val="Header"/>
      <w:jc w:val="right"/>
    </w:pPr>
    <w:r>
      <w:t xml:space="preserve">Running head: THE IMPACT OF SERVICE LEARNING TO STUDENTS                                </w:t>
    </w:r>
    <w:sdt>
      <w:sdtPr>
        <w:id w:val="6185282"/>
        <w:docPartObj>
          <w:docPartGallery w:val="Page Numbers (Top of Page)"/>
          <w:docPartUnique/>
        </w:docPartObj>
      </w:sdtPr>
      <w:sdtContent>
        <w:fldSimple w:instr=" PAGE   \* MERGEFORMAT ">
          <w:r w:rsidR="007E20D9">
            <w:rPr>
              <w:noProof/>
            </w:rPr>
            <w:t>1</w:t>
          </w:r>
        </w:fldSimple>
      </w:sdtContent>
    </w:sdt>
  </w:p>
  <w:p w:rsidR="00783F91" w:rsidRDefault="00783F9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20233"/>
    <w:rsid w:val="00026B37"/>
    <w:rsid w:val="000C2591"/>
    <w:rsid w:val="001035A8"/>
    <w:rsid w:val="001F3255"/>
    <w:rsid w:val="00266243"/>
    <w:rsid w:val="003256FD"/>
    <w:rsid w:val="00371B40"/>
    <w:rsid w:val="00376BF7"/>
    <w:rsid w:val="00420233"/>
    <w:rsid w:val="0044679E"/>
    <w:rsid w:val="00454475"/>
    <w:rsid w:val="005327D9"/>
    <w:rsid w:val="00610C14"/>
    <w:rsid w:val="00652B8A"/>
    <w:rsid w:val="006C3F54"/>
    <w:rsid w:val="00783F91"/>
    <w:rsid w:val="00786254"/>
    <w:rsid w:val="00793F80"/>
    <w:rsid w:val="007E20D9"/>
    <w:rsid w:val="00826CCB"/>
    <w:rsid w:val="0089092D"/>
    <w:rsid w:val="008A7268"/>
    <w:rsid w:val="008B4921"/>
    <w:rsid w:val="008E3800"/>
    <w:rsid w:val="008E79B2"/>
    <w:rsid w:val="0097684F"/>
    <w:rsid w:val="00994E35"/>
    <w:rsid w:val="009A5DA1"/>
    <w:rsid w:val="00A34D5A"/>
    <w:rsid w:val="00A40AEB"/>
    <w:rsid w:val="00AE11FC"/>
    <w:rsid w:val="00B557D0"/>
    <w:rsid w:val="00B62012"/>
    <w:rsid w:val="00BB097F"/>
    <w:rsid w:val="00BE09A1"/>
    <w:rsid w:val="00C250A2"/>
    <w:rsid w:val="00D31DCC"/>
    <w:rsid w:val="00D455C1"/>
    <w:rsid w:val="00D53C6E"/>
    <w:rsid w:val="00E22ABD"/>
    <w:rsid w:val="00E46398"/>
    <w:rsid w:val="00E939D2"/>
    <w:rsid w:val="00EA4AA4"/>
    <w:rsid w:val="00F067EE"/>
    <w:rsid w:val="00FC6A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F91"/>
  </w:style>
  <w:style w:type="paragraph" w:styleId="Footer">
    <w:name w:val="footer"/>
    <w:basedOn w:val="Normal"/>
    <w:link w:val="FooterChar"/>
    <w:uiPriority w:val="99"/>
    <w:semiHidden/>
    <w:unhideWhenUsed/>
    <w:rsid w:val="00783F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3F91"/>
  </w:style>
  <w:style w:type="paragraph" w:styleId="BalloonText">
    <w:name w:val="Balloon Text"/>
    <w:basedOn w:val="Normal"/>
    <w:link w:val="BalloonTextChar"/>
    <w:uiPriority w:val="99"/>
    <w:semiHidden/>
    <w:unhideWhenUsed/>
    <w:rsid w:val="00783F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F91"/>
    <w:rPr>
      <w:rFonts w:ascii="Tahoma" w:hAnsi="Tahoma" w:cs="Tahoma"/>
      <w:sz w:val="16"/>
      <w:szCs w:val="16"/>
    </w:rPr>
  </w:style>
  <w:style w:type="paragraph" w:styleId="Bibliography">
    <w:name w:val="Bibliography"/>
    <w:basedOn w:val="Normal"/>
    <w:next w:val="Normal"/>
    <w:uiPriority w:val="37"/>
    <w:unhideWhenUsed/>
    <w:rsid w:val="00E4639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Bri13</b:Tag>
    <b:SourceType>JournalArticle</b:SourceType>
    <b:Guid>{7481247B-3309-4826-BB1F-DDD044E9B10E}</b:Guid>
    <b:LCID>0</b:LCID>
    <b:Author>
      <b:Author>
        <b:NameList>
          <b:Person>
            <b:Last>Bringle</b:Last>
            <b:First>RG.</b:First>
          </b:Person>
        </b:NameList>
      </b:Author>
    </b:Author>
    <b:Title>Implementing Service Learning in Higher Education</b:Title>
    <b:JournalName>The Journal of Higher Education</b:JournalName>
    <b:Year>2013</b:Year>
    <b:Pages>4-11</b:Pages>
    <b:RefOrder>1</b:RefOrder>
  </b:Source>
  <b:Source>
    <b:Tag>Che11</b:Tag>
    <b:SourceType>JournalArticle</b:SourceType>
    <b:Guid>{A702BA48-82FC-40FF-A177-9F9F8B12B4C4}</b:Guid>
    <b:LCID>0</b:LCID>
    <b:Author>
      <b:Author>
        <b:NameList>
          <b:Person>
            <b:Last>Checkoway</b:Last>
            <b:First>B.</b:First>
          </b:Person>
        </b:NameList>
      </b:Author>
    </b:Author>
    <b:Title>Renewing the civic mission of the American Research University</b:Title>
    <b:JournalName>The Journal of Higher Education</b:JournalName>
    <b:Year>2011</b:Year>
    <b:Pages>14-32</b:Pages>
    <b:RefOrder>2</b:RefOrder>
  </b:Source>
  <b:Source>
    <b:Tag>Nyd14</b:Tag>
    <b:SourceType>JournalArticle</b:SourceType>
    <b:Guid>{9A4F29C1-1FAC-4A7D-8CAB-8E68D188FF73}</b:Guid>
    <b:LCID>0</b:LCID>
    <b:Author>
      <b:Author>
        <b:NameList>
          <b:Person>
            <b:Last>Nyden</b:Last>
            <b:First>P.</b:First>
          </b:Person>
        </b:NameList>
      </b:Author>
    </b:Author>
    <b:Title>Academic incentives for faculty participation in community-based research</b:Title>
    <b:JournalName>Journal of General Internal Medicine</b:JournalName>
    <b:Year>2014</b:Year>
    <b:Pages>63-79</b:Pages>
    <b:RefOrder>4</b:RefOrder>
  </b:Source>
  <b:Source>
    <b:Tag>Nie11</b:Tag>
    <b:SourceType>JournalArticle</b:SourceType>
    <b:Guid>{B14F15A5-1205-4CF7-A05C-58A0729A9F2E}</b:Guid>
    <b:LCID>0</b:LCID>
    <b:Author>
      <b:Author>
        <b:NameList>
          <b:Person>
            <b:Last>Nieto</b:Last>
            <b:First>S.</b:First>
          </b:Person>
        </b:NameList>
      </b:Author>
    </b:Author>
    <b:Title>Affirming diversity: The socialeconomical context of multicultural education</b:Title>
    <b:JournalName>International Journal of environmental research</b:JournalName>
    <b:Year>2011</b:Year>
    <b:Pages>55-81</b:Pages>
    <b:RefOrder>3</b:RefOrder>
  </b:Source>
</b:Sources>
</file>

<file path=customXml/itemProps1.xml><?xml version="1.0" encoding="utf-8"?>
<ds:datastoreItem xmlns:ds="http://schemas.openxmlformats.org/officeDocument/2006/customXml" ds:itemID="{8E9E75B8-CAD3-4F1C-A0E2-B6E5C6570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2019-01-14T18:17:00Z</dcterms:created>
  <dcterms:modified xsi:type="dcterms:W3CDTF">2019-01-14T18:17:00Z</dcterms:modified>
</cp:coreProperties>
</file>